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赵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bookmarkStart w:id="0" w:name="_GoBack"/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23 </w:t>
      </w:r>
      <w:bookmarkEnd w:id="0"/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雨水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部隐痛</w:t>
      </w:r>
      <w:r>
        <w:rPr>
          <w:rFonts w:hint="eastAsia" w:ascii="仿宋" w:hAnsi="仿宋" w:eastAsia="仿宋"/>
          <w:sz w:val="24"/>
          <w:lang w:val="en-US" w:eastAsia="zh-CN"/>
        </w:rPr>
        <w:t>2月余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2月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隐痛，饭后加重，伴有寒冷感、腹胀，纳食不香，多次至当地医院就诊，查胃镜提示：慢性非萎缩性胃炎。予中</w:t>
      </w:r>
      <w:r>
        <w:rPr>
          <w:rFonts w:hint="eastAsia" w:ascii="仿宋" w:hAnsi="仿宋" w:eastAsia="仿宋"/>
          <w:sz w:val="24"/>
        </w:rPr>
        <w:t>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未见明显好转，反复发作，大便烂不成形。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、寒冷感、腹胀、纳差。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上腹部轻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val="en-US" w:eastAsia="zh-CN"/>
        </w:rPr>
        <w:t>舌淡，苔白腻，脉细。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脾胃虚寒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温中健脾和胃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安胃二号方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苍术</w:t>
      </w:r>
      <w:r>
        <w:rPr>
          <w:rFonts w:hint="eastAsia" w:ascii="仿宋" w:hAnsi="仿宋" w:eastAsia="仿宋"/>
          <w:sz w:val="24"/>
        </w:rPr>
        <w:t>10g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eastAsia="zh-CN"/>
        </w:rPr>
        <w:t>白术</w:t>
      </w:r>
      <w:r>
        <w:rPr>
          <w:rFonts w:hint="eastAsia" w:ascii="仿宋" w:hAnsi="仿宋" w:eastAsia="仿宋"/>
          <w:sz w:val="24"/>
          <w:lang w:val="en-US" w:eastAsia="zh-CN"/>
        </w:rPr>
        <w:t xml:space="preserve">12g   </w:t>
      </w:r>
      <w:r>
        <w:rPr>
          <w:rFonts w:hint="eastAsia" w:ascii="仿宋" w:hAnsi="仿宋" w:eastAsia="仿宋"/>
          <w:sz w:val="24"/>
          <w:lang w:eastAsia="zh-CN"/>
        </w:rPr>
        <w:t>姜半夏</w:t>
      </w:r>
      <w:r>
        <w:rPr>
          <w:rFonts w:hint="eastAsia" w:ascii="仿宋" w:hAnsi="仿宋" w:eastAsia="仿宋"/>
          <w:sz w:val="24"/>
          <w:lang w:val="en-US" w:eastAsia="zh-CN"/>
        </w:rPr>
        <w:t>15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vertAlign w:val="superscript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陈皮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砂仁10g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麦芽15g  鸡内金15g 炮姜10g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党参10g  吴茱萸10g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胃痛较前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但仍有饭后腹胀明显，纳食不佳，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加枳实</w:t>
      </w:r>
      <w:r>
        <w:rPr>
          <w:rFonts w:hint="eastAsia" w:ascii="仿宋" w:hAnsi="仿宋" w:eastAsia="仿宋"/>
          <w:sz w:val="24"/>
          <w:lang w:val="en-US" w:eastAsia="zh-CN"/>
        </w:rPr>
        <w:t>10g、厚朴10g</w:t>
      </w:r>
      <w:r>
        <w:rPr>
          <w:rFonts w:hint="eastAsia" w:ascii="仿宋" w:hAnsi="仿宋" w:eastAsia="仿宋"/>
          <w:sz w:val="24"/>
          <w:lang w:eastAsia="zh-CN"/>
        </w:rPr>
        <w:t>神曲</w:t>
      </w:r>
      <w:r>
        <w:rPr>
          <w:rFonts w:hint="eastAsia" w:ascii="仿宋" w:hAnsi="仿宋" w:eastAsia="仿宋"/>
          <w:sz w:val="24"/>
          <w:lang w:val="en-US" w:eastAsia="zh-CN"/>
        </w:rPr>
        <w:t>8g</w:t>
      </w:r>
      <w:r>
        <w:rPr>
          <w:rFonts w:hint="eastAsia" w:ascii="仿宋" w:hAnsi="仿宋" w:eastAsia="仿宋"/>
          <w:sz w:val="24"/>
          <w:lang w:eastAsia="zh-CN"/>
        </w:rPr>
        <w:t>等，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明显好转，继续守方用药</w:t>
      </w:r>
      <w:r>
        <w:rPr>
          <w:rFonts w:hint="eastAsia" w:ascii="仿宋" w:hAnsi="仿宋" w:eastAsia="仿宋"/>
          <w:sz w:val="24"/>
          <w:lang w:val="en-US" w:eastAsia="zh-CN"/>
        </w:rPr>
        <w:t>14剂后症状好转消失。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脾胃虚寒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根据患者症状、舌脉象可推断，主方以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安胃二号房加减温中健脾和胃，治疗上以温补中焦为主，根据胃病燥湿升降逆乱的特点，以行气化湿之法，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脾胃虚寒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安胃二号房加减温中健脾和胃，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  <w:lang w:eastAsia="zh-CN"/>
        </w:rPr>
        <w:t>。脾胃阳虚，清阳不升，浊阴不降，应以温补中焦，调节脾胃升降之枢纽。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脾胃虚寒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588A2852"/>
    <w:rsid w:val="590479F7"/>
    <w:rsid w:val="5CE44FA2"/>
    <w:rsid w:val="6A3F5B25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2019-11-28T14:31:14Z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